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2F4" w:rsidRPr="00830440" w:rsidRDefault="000D27DF" w:rsidP="00E17B6C">
      <w:pPr>
        <w:jc w:val="center"/>
        <w:rPr>
          <w:highlight w:val="yellow"/>
        </w:rPr>
      </w:pPr>
      <w:r w:rsidRPr="00830440">
        <w:rPr>
          <w:highlight w:val="yellow"/>
        </w:rPr>
        <w:t xml:space="preserve">If </w:t>
      </w:r>
      <w:r w:rsidR="00DB72F4" w:rsidRPr="00830440">
        <w:rPr>
          <w:highlight w:val="yellow"/>
        </w:rPr>
        <w:t>you apply a basic</w:t>
      </w:r>
      <w:r w:rsidRPr="00830440">
        <w:rPr>
          <w:highlight w:val="yellow"/>
        </w:rPr>
        <w:t xml:space="preserve"> DEA</w:t>
      </w:r>
      <w:r w:rsidR="00DB72F4" w:rsidRPr="00830440">
        <w:rPr>
          <w:highlight w:val="yellow"/>
        </w:rPr>
        <w:t xml:space="preserve"> model, you </w:t>
      </w:r>
      <w:r w:rsidRPr="00830440">
        <w:rPr>
          <w:highlight w:val="yellow"/>
        </w:rPr>
        <w:t xml:space="preserve"> can </w:t>
      </w:r>
      <w:r w:rsidR="00DB72F4" w:rsidRPr="00830440">
        <w:rPr>
          <w:highlight w:val="yellow"/>
        </w:rPr>
        <w:t>use this report</w:t>
      </w:r>
    </w:p>
    <w:p w:rsidR="00EE72EE" w:rsidRDefault="00DB72F4" w:rsidP="00DB72F4">
      <w:pPr>
        <w:bidi w:val="0"/>
        <w:jc w:val="center"/>
      </w:pPr>
      <w:r w:rsidRPr="00830440">
        <w:rPr>
          <w:highlight w:val="yellow"/>
        </w:rPr>
        <w:t>Help: Replace the yellow highlighted areas with the output values obtained from the software</w:t>
      </w:r>
    </w:p>
    <w:p w:rsidR="00DB72F4" w:rsidRDefault="00DB72F4" w:rsidP="006F640F">
      <w:pPr>
        <w:bidi w:val="0"/>
        <w:jc w:val="both"/>
      </w:pPr>
      <w:r w:rsidRPr="00DB72F4">
        <w:t xml:space="preserve">Data envelopment analysis (DEA) can be utilized a linear programming based technique and optimization for </w:t>
      </w:r>
      <w:r w:rsidR="000D27DF">
        <w:t xml:space="preserve">assessing </w:t>
      </w:r>
      <w:r w:rsidRPr="00DB72F4">
        <w:t xml:space="preserve">the efficiency of each unit. With the aim of improving the efficiency of each unit, a </w:t>
      </w:r>
      <w:r w:rsidR="0047142D">
        <w:t>reference set</w:t>
      </w:r>
      <w:r w:rsidRPr="00DB72F4">
        <w:t xml:space="preserve"> for an inefficient unit is determined and the efficiency of various units can be </w:t>
      </w:r>
      <w:r>
        <w:t>compared</w:t>
      </w:r>
      <w:r w:rsidRPr="00DB72F4">
        <w:t xml:space="preserve"> to the efficiency boundary.</w:t>
      </w:r>
    </w:p>
    <w:p w:rsidR="00DB72F4" w:rsidRPr="00DB72F4" w:rsidRDefault="00DB72F4" w:rsidP="00DB72F4">
      <w:pPr>
        <w:bidi w:val="0"/>
        <w:rPr>
          <w:b/>
          <w:bCs/>
        </w:rPr>
      </w:pPr>
      <w:r w:rsidRPr="00DB72F4">
        <w:rPr>
          <w:b/>
          <w:bCs/>
        </w:rPr>
        <w:t>Project Specifications</w:t>
      </w:r>
    </w:p>
    <w:p w:rsidR="00DB72F4" w:rsidRDefault="00DB72F4" w:rsidP="00076902">
      <w:pPr>
        <w:bidi w:val="0"/>
      </w:pPr>
      <w:r>
        <w:t xml:space="preserve">In this study, </w:t>
      </w:r>
      <w:r w:rsidRPr="00830440">
        <w:rPr>
          <w:highlight w:val="yellow"/>
        </w:rPr>
        <w:t>A</w:t>
      </w:r>
      <w:r>
        <w:t xml:space="preserve"> as decision making unit (DMU) was investigated with respect to </w:t>
      </w:r>
      <w:r w:rsidR="00076902" w:rsidRPr="00830440">
        <w:rPr>
          <w:highlight w:val="yellow"/>
        </w:rPr>
        <w:t>B</w:t>
      </w:r>
      <w:r w:rsidR="00076902">
        <w:t xml:space="preserve"> </w:t>
      </w:r>
      <w:r>
        <w:t xml:space="preserve">input and </w:t>
      </w:r>
      <w:r w:rsidR="00076902" w:rsidRPr="00830440">
        <w:rPr>
          <w:highlight w:val="yellow"/>
        </w:rPr>
        <w:t>C</w:t>
      </w:r>
      <w:r w:rsidR="00076902">
        <w:t xml:space="preserve"> </w:t>
      </w:r>
      <w:r>
        <w:t xml:space="preserve">output. The </w:t>
      </w:r>
      <w:r w:rsidR="0047142D">
        <w:t xml:space="preserve">DEA </w:t>
      </w:r>
      <w:r w:rsidR="00170B03">
        <w:t>type used</w:t>
      </w:r>
      <w:r>
        <w:t xml:space="preserve"> in this study is </w:t>
      </w:r>
      <w:r w:rsidR="0047142D">
        <w:t xml:space="preserve"> the model </w:t>
      </w:r>
      <w:r w:rsidRPr="00830440">
        <w:rPr>
          <w:highlight w:val="yellow"/>
        </w:rPr>
        <w:t>D</w:t>
      </w:r>
      <w:r w:rsidR="0047142D">
        <w:t xml:space="preserve"> based on </w:t>
      </w:r>
      <w:r w:rsidR="00170B03">
        <w:t xml:space="preserve"> the model </w:t>
      </w:r>
      <w:r w:rsidR="00170B03" w:rsidRPr="00830440">
        <w:rPr>
          <w:highlight w:val="yellow"/>
        </w:rPr>
        <w:t>E</w:t>
      </w:r>
      <w:r w:rsidR="00170B03">
        <w:t xml:space="preserve"> and </w:t>
      </w:r>
      <w:r w:rsidR="0047142D" w:rsidRPr="0047142D">
        <w:t xml:space="preserve">using </w:t>
      </w:r>
      <w:r w:rsidR="00170B03">
        <w:t xml:space="preserve">approach </w:t>
      </w:r>
      <w:r w:rsidR="00170B03" w:rsidRPr="00830440">
        <w:rPr>
          <w:highlight w:val="yellow"/>
        </w:rPr>
        <w:t>F</w:t>
      </w:r>
      <w:r w:rsidR="00170B03">
        <w:t>.</w:t>
      </w:r>
    </w:p>
    <w:p w:rsidR="00DB72F4" w:rsidRPr="00830440" w:rsidRDefault="00DB72F4" w:rsidP="00170B03">
      <w:pPr>
        <w:bidi w:val="0"/>
        <w:rPr>
          <w:highlight w:val="yellow"/>
        </w:rPr>
      </w:pPr>
      <w:r w:rsidRPr="00830440">
        <w:rPr>
          <w:highlight w:val="yellow"/>
        </w:rPr>
        <w:t>A: the number of decision making units (DMUs</w:t>
      </w:r>
      <w:r w:rsidR="00170B03" w:rsidRPr="00830440">
        <w:rPr>
          <w:highlight w:val="yellow"/>
        </w:rPr>
        <w:t>)</w:t>
      </w:r>
    </w:p>
    <w:p w:rsidR="00DB72F4" w:rsidRPr="00830440" w:rsidRDefault="00DB72F4" w:rsidP="00DB72F4">
      <w:pPr>
        <w:bidi w:val="0"/>
        <w:rPr>
          <w:highlight w:val="yellow"/>
        </w:rPr>
      </w:pPr>
      <w:r w:rsidRPr="00830440">
        <w:rPr>
          <w:highlight w:val="yellow"/>
        </w:rPr>
        <w:t>B: the number of inputs</w:t>
      </w:r>
    </w:p>
    <w:p w:rsidR="00DB72F4" w:rsidRPr="00830440" w:rsidRDefault="00DB72F4" w:rsidP="00DB72F4">
      <w:pPr>
        <w:bidi w:val="0"/>
        <w:rPr>
          <w:highlight w:val="yellow"/>
        </w:rPr>
      </w:pPr>
      <w:r w:rsidRPr="00830440">
        <w:rPr>
          <w:highlight w:val="yellow"/>
        </w:rPr>
        <w:t>C: the number of outputs</w:t>
      </w:r>
    </w:p>
    <w:p w:rsidR="00DB72F4" w:rsidRPr="00830440" w:rsidRDefault="00DB72F4" w:rsidP="00170B03">
      <w:pPr>
        <w:bidi w:val="0"/>
        <w:rPr>
          <w:highlight w:val="yellow"/>
        </w:rPr>
      </w:pPr>
      <w:r w:rsidRPr="00830440">
        <w:rPr>
          <w:highlight w:val="yellow"/>
        </w:rPr>
        <w:t xml:space="preserve">D: </w:t>
      </w:r>
      <w:r w:rsidR="00170B03" w:rsidRPr="00830440">
        <w:rPr>
          <w:highlight w:val="yellow"/>
        </w:rPr>
        <w:t xml:space="preserve"> the</w:t>
      </w:r>
      <w:r w:rsidR="0047142D" w:rsidRPr="00830440">
        <w:rPr>
          <w:highlight w:val="yellow"/>
        </w:rPr>
        <w:t xml:space="preserve"> DEA</w:t>
      </w:r>
      <w:r w:rsidR="00170B03" w:rsidRPr="00830440">
        <w:rPr>
          <w:highlight w:val="yellow"/>
        </w:rPr>
        <w:t xml:space="preserve"> type</w:t>
      </w:r>
    </w:p>
    <w:p w:rsidR="00170B03" w:rsidRPr="00830440" w:rsidRDefault="00170B03" w:rsidP="00170B03">
      <w:pPr>
        <w:bidi w:val="0"/>
        <w:rPr>
          <w:highlight w:val="yellow"/>
        </w:rPr>
      </w:pPr>
      <w:r w:rsidRPr="00830440">
        <w:rPr>
          <w:highlight w:val="yellow"/>
        </w:rPr>
        <w:t>E: the model</w:t>
      </w:r>
    </w:p>
    <w:p w:rsidR="00170B03" w:rsidRDefault="00170B03" w:rsidP="00170B03">
      <w:pPr>
        <w:bidi w:val="0"/>
      </w:pPr>
      <w:r w:rsidRPr="00830440">
        <w:rPr>
          <w:highlight w:val="yellow"/>
        </w:rPr>
        <w:t>F:</w:t>
      </w:r>
      <w:r w:rsidR="00F27134" w:rsidRPr="00830440">
        <w:rPr>
          <w:highlight w:val="yellow"/>
        </w:rPr>
        <w:t xml:space="preserve"> </w:t>
      </w:r>
      <w:r w:rsidRPr="00830440">
        <w:rPr>
          <w:highlight w:val="yellow"/>
        </w:rPr>
        <w:t>the approach</w:t>
      </w:r>
    </w:p>
    <w:p w:rsidR="00F27134" w:rsidRPr="00F27134" w:rsidRDefault="00F27134" w:rsidP="00F27134">
      <w:pPr>
        <w:bidi w:val="0"/>
        <w:rPr>
          <w:b/>
          <w:bCs/>
        </w:rPr>
      </w:pPr>
      <w:r w:rsidRPr="00F27134">
        <w:rPr>
          <w:b/>
          <w:bCs/>
        </w:rPr>
        <w:t>Efficiency</w:t>
      </w:r>
    </w:p>
    <w:p w:rsidR="00F27134" w:rsidRDefault="00C55613" w:rsidP="00C55613">
      <w:pPr>
        <w:bidi w:val="0"/>
      </w:pPr>
      <w:r w:rsidRPr="00C55613">
        <w:t xml:space="preserve">The </w:t>
      </w:r>
      <w:r>
        <w:t>v</w:t>
      </w:r>
      <w:r w:rsidRPr="00C55613">
        <w:t xml:space="preserve">alue of </w:t>
      </w:r>
      <w:r>
        <w:t>e</w:t>
      </w:r>
      <w:r w:rsidRPr="00C55613">
        <w:t>fficiency</w:t>
      </w:r>
      <w:r>
        <w:t xml:space="preserve"> </w:t>
      </w:r>
      <w:r w:rsidR="00F27134" w:rsidRPr="00F27134">
        <w:t xml:space="preserve">obtained by the defined model </w:t>
      </w:r>
      <w:r w:rsidR="00F27134">
        <w:t>is presented in Table 1</w:t>
      </w:r>
      <w:r w:rsidR="006F640F">
        <w:t xml:space="preserve">. </w:t>
      </w:r>
      <w:r>
        <w:t>In addition to the</w:t>
      </w:r>
      <w:r w:rsidRPr="00C55613">
        <w:t xml:space="preserve"> </w:t>
      </w:r>
      <w:r>
        <w:t>v</w:t>
      </w:r>
      <w:r w:rsidRPr="00C55613">
        <w:t xml:space="preserve">alue of </w:t>
      </w:r>
      <w:r>
        <w:t>e</w:t>
      </w:r>
      <w:r w:rsidRPr="00C55613">
        <w:t>fficiency</w:t>
      </w:r>
      <w:r>
        <w:t>, its</w:t>
      </w:r>
      <w:r w:rsidR="00F27134">
        <w:t xml:space="preserve"> type can</w:t>
      </w:r>
      <w:r w:rsidRPr="00C55613">
        <w:t xml:space="preserve"> also</w:t>
      </w:r>
      <w:r>
        <w:t xml:space="preserve"> be shown</w:t>
      </w:r>
      <w:r w:rsidR="00F27134">
        <w:t xml:space="preserve"> in this table</w:t>
      </w:r>
      <w:r>
        <w:t>.</w:t>
      </w:r>
    </w:p>
    <w:p w:rsidR="00C55613" w:rsidRPr="00C55613" w:rsidRDefault="00C55613" w:rsidP="00C55613">
      <w:pPr>
        <w:bidi w:val="0"/>
        <w:jc w:val="center"/>
        <w:rPr>
          <w:b/>
          <w:bCs/>
        </w:rPr>
      </w:pPr>
      <w:r w:rsidRPr="00830440">
        <w:rPr>
          <w:b/>
          <w:bCs/>
          <w:highlight w:val="yellow"/>
        </w:rPr>
        <w:t>Table1</w:t>
      </w:r>
      <w:r w:rsidRPr="00C55613">
        <w:rPr>
          <w:b/>
          <w:bCs/>
        </w:rPr>
        <w:t>.</w:t>
      </w:r>
    </w:p>
    <w:p w:rsidR="00C55613" w:rsidRDefault="00C55613" w:rsidP="00C55613">
      <w:pPr>
        <w:bidi w:val="0"/>
      </w:pPr>
      <w:r w:rsidRPr="00C55613">
        <w:t>The unit is inefficient if the efficiency is less than 1</w:t>
      </w:r>
      <w:r>
        <w:rPr>
          <w:rtl/>
        </w:rPr>
        <w:t>.</w:t>
      </w:r>
    </w:p>
    <w:p w:rsidR="00C55613" w:rsidRDefault="00C55613" w:rsidP="005A3BA8">
      <w:pPr>
        <w:bidi w:val="0"/>
      </w:pPr>
      <w:r>
        <w:t xml:space="preserve">If </w:t>
      </w:r>
      <w:r w:rsidR="008D71B1" w:rsidRPr="008D71B1">
        <w:t>the efficiency</w:t>
      </w:r>
      <w:r w:rsidR="008D71B1">
        <w:t xml:space="preserve"> of a unit </w:t>
      </w:r>
      <w:r w:rsidR="008D71B1" w:rsidRPr="008D71B1">
        <w:t>is</w:t>
      </w:r>
      <w:r>
        <w:t xml:space="preserve"> equal to 1 and there is</w:t>
      </w:r>
      <w:r w:rsidR="005A3BA8">
        <w:t xml:space="preserve"> </w:t>
      </w:r>
      <w:r w:rsidR="005A3BA8" w:rsidRPr="005A3BA8">
        <w:t>zero slacks</w:t>
      </w:r>
      <w:r>
        <w:t xml:space="preserve">, then </w:t>
      </w:r>
      <w:r w:rsidR="008D71B1">
        <w:t>it</w:t>
      </w:r>
      <w:r>
        <w:t xml:space="preserve"> is </w:t>
      </w:r>
      <w:r w:rsidR="0047142D">
        <w:t>the</w:t>
      </w:r>
      <w:r w:rsidR="008D71B1">
        <w:t xml:space="preserve"> </w:t>
      </w:r>
      <w:r w:rsidR="008D71B1" w:rsidRPr="008D71B1">
        <w:t>Pareto efficiency</w:t>
      </w:r>
      <w:r>
        <w:rPr>
          <w:rtl/>
        </w:rPr>
        <w:t>.</w:t>
      </w:r>
    </w:p>
    <w:p w:rsidR="00C55613" w:rsidRDefault="008D71B1" w:rsidP="006F640F">
      <w:pPr>
        <w:bidi w:val="0"/>
      </w:pPr>
      <w:r w:rsidRPr="008D71B1">
        <w:t>If the efficiency of a unit is equal to 1 and there is</w:t>
      </w:r>
      <w:r w:rsidR="005A3BA8" w:rsidRPr="005A3BA8">
        <w:t xml:space="preserve"> nonzero slacks</w:t>
      </w:r>
      <w:r w:rsidR="00C55613">
        <w:t>, the</w:t>
      </w:r>
      <w:r>
        <w:t xml:space="preserve">n </w:t>
      </w:r>
      <w:r w:rsidR="006F640F">
        <w:t>it is</w:t>
      </w:r>
      <w:r>
        <w:t xml:space="preserve"> known </w:t>
      </w:r>
      <w:r w:rsidR="006F640F">
        <w:t>as the</w:t>
      </w:r>
      <w:r>
        <w:t xml:space="preserve"> </w:t>
      </w:r>
      <w:r w:rsidR="00C55613">
        <w:t>weak</w:t>
      </w:r>
      <w:r>
        <w:t xml:space="preserve"> </w:t>
      </w:r>
      <w:r w:rsidR="006F640F">
        <w:t>efficiency.</w:t>
      </w:r>
    </w:p>
    <w:p w:rsidR="008D71B1" w:rsidRDefault="008D71B1" w:rsidP="008D71B1">
      <w:pPr>
        <w:bidi w:val="0"/>
      </w:pPr>
      <w:r>
        <w:t xml:space="preserve"> Figure 1</w:t>
      </w:r>
      <w:r w:rsidRPr="008D71B1">
        <w:t xml:space="preserve"> also shows the values of efficiency.</w:t>
      </w:r>
    </w:p>
    <w:p w:rsidR="008D71B1" w:rsidRPr="008D71B1" w:rsidRDefault="008D71B1" w:rsidP="008D71B1">
      <w:pPr>
        <w:bidi w:val="0"/>
        <w:jc w:val="center"/>
        <w:rPr>
          <w:b/>
          <w:bCs/>
        </w:rPr>
      </w:pPr>
      <w:r w:rsidRPr="00E24C39">
        <w:rPr>
          <w:b/>
          <w:bCs/>
          <w:highlight w:val="yellow"/>
        </w:rPr>
        <w:t>Figure1</w:t>
      </w:r>
      <w:r w:rsidRPr="008D71B1">
        <w:rPr>
          <w:b/>
          <w:bCs/>
        </w:rPr>
        <w:t>.</w:t>
      </w:r>
    </w:p>
    <w:p w:rsidR="00FF1AB8" w:rsidRDefault="000526C1" w:rsidP="00BE0B7B">
      <w:pPr>
        <w:bidi w:val="0"/>
        <w:jc w:val="both"/>
        <w:rPr>
          <w:b/>
          <w:bCs/>
        </w:rPr>
      </w:pPr>
      <w:r>
        <w:rPr>
          <w:b/>
          <w:bCs/>
        </w:rPr>
        <w:t xml:space="preserve">Reference Set </w:t>
      </w:r>
    </w:p>
    <w:p w:rsidR="008D71B1" w:rsidRDefault="00B55712" w:rsidP="0047142D">
      <w:pPr>
        <w:bidi w:val="0"/>
        <w:jc w:val="both"/>
      </w:pPr>
      <w:r w:rsidRPr="00B55712">
        <w:t>In</w:t>
      </w:r>
      <w:r w:rsidR="00FF1AB8">
        <w:t xml:space="preserve"> </w:t>
      </w:r>
      <w:r w:rsidRPr="00B55712">
        <w:t xml:space="preserve">each linear program </w:t>
      </w:r>
      <w:r>
        <w:t>of</w:t>
      </w:r>
      <w:r w:rsidR="00BF087B">
        <w:t xml:space="preserve"> DEA</w:t>
      </w:r>
      <w:r w:rsidR="008D71B1">
        <w:t xml:space="preserve">, </w:t>
      </w:r>
      <w:r w:rsidRPr="00B55712">
        <w:t>the solution technique will attempt to make the efficiency of the target unit as large as possible</w:t>
      </w:r>
      <w:r w:rsidR="008D71B1">
        <w:t xml:space="preserve">. </w:t>
      </w:r>
      <w:r w:rsidRPr="00B55712">
        <w:t>This search procedure will terminate when either the efficiency of the target unit or the efficiency of one or more other units</w:t>
      </w:r>
      <w:r>
        <w:t xml:space="preserve"> </w:t>
      </w:r>
      <w:r w:rsidR="008D71B1">
        <w:t xml:space="preserve">is equal to one. Therefore, </w:t>
      </w:r>
      <w:r w:rsidRPr="00B55712">
        <w:t xml:space="preserve">for an inefficient unit at least one other unit </w:t>
      </w:r>
      <w:r w:rsidR="00E62FCD">
        <w:t xml:space="preserve">has the </w:t>
      </w:r>
      <w:r w:rsidRPr="00B55712">
        <w:t>efficien</w:t>
      </w:r>
      <w:r w:rsidR="00E62FCD">
        <w:t>cy equal to 1</w:t>
      </w:r>
      <w:r w:rsidRPr="00B55712">
        <w:t xml:space="preserve"> with the</w:t>
      </w:r>
      <w:r w:rsidR="00E62FCD" w:rsidRPr="00E62FCD">
        <w:t xml:space="preserve"> same</w:t>
      </w:r>
      <w:r w:rsidR="00E62FCD">
        <w:t xml:space="preserve"> </w:t>
      </w:r>
      <w:r w:rsidR="00E62FCD" w:rsidRPr="00E62FCD">
        <w:t>weight</w:t>
      </w:r>
      <w:r w:rsidR="00E62FCD" w:rsidRPr="00B55712">
        <w:t xml:space="preserve"> </w:t>
      </w:r>
      <w:r w:rsidR="00E62FCD">
        <w:t xml:space="preserve">of the </w:t>
      </w:r>
      <w:r w:rsidRPr="00B55712">
        <w:t>target unit</w:t>
      </w:r>
      <w:r w:rsidR="00E62FCD">
        <w:t xml:space="preserve"> </w:t>
      </w:r>
      <w:r w:rsidR="00E62FCD" w:rsidRPr="00E62FCD">
        <w:t>obtained from the solution of the mode</w:t>
      </w:r>
      <w:r w:rsidR="00E62FCD">
        <w:t>l</w:t>
      </w:r>
      <w:r w:rsidR="008D71B1">
        <w:t xml:space="preserve">. </w:t>
      </w:r>
      <w:r w:rsidR="00BE0B7B" w:rsidRPr="00BE0B7B">
        <w:t>These efficient units are known as the peer group for the inefficient unit</w:t>
      </w:r>
      <w:r w:rsidR="008D71B1">
        <w:t xml:space="preserve">. </w:t>
      </w:r>
      <w:r w:rsidR="00BE0B7B">
        <w:t>Table 2 shows the peer</w:t>
      </w:r>
      <w:r w:rsidR="0047142D">
        <w:t>s</w:t>
      </w:r>
      <w:r w:rsidR="008D71B1">
        <w:t>.</w:t>
      </w:r>
    </w:p>
    <w:p w:rsidR="00BE0B7B" w:rsidRPr="0073782B" w:rsidRDefault="00BE0B7B" w:rsidP="0073782B">
      <w:pPr>
        <w:bidi w:val="0"/>
        <w:jc w:val="center"/>
        <w:rPr>
          <w:b/>
          <w:bCs/>
        </w:rPr>
      </w:pPr>
      <w:r w:rsidRPr="00E24C39">
        <w:rPr>
          <w:b/>
          <w:bCs/>
          <w:highlight w:val="yellow"/>
        </w:rPr>
        <w:lastRenderedPageBreak/>
        <w:t>Table 2.</w:t>
      </w:r>
    </w:p>
    <w:p w:rsidR="00BE0B7B" w:rsidRDefault="00BE0B7B" w:rsidP="00FF1AB8">
      <w:pPr>
        <w:bidi w:val="0"/>
        <w:jc w:val="both"/>
      </w:pPr>
      <w:r w:rsidRPr="00BE0B7B">
        <w:t xml:space="preserve">Table 3 also shows the number of the repeated </w:t>
      </w:r>
      <w:r w:rsidR="00FF1AB8">
        <w:t xml:space="preserve">peer </w:t>
      </w:r>
      <w:r w:rsidRPr="00BE0B7B">
        <w:t>units.</w:t>
      </w:r>
    </w:p>
    <w:p w:rsidR="00BE0B7B" w:rsidRDefault="00BE0B7B" w:rsidP="0073782B">
      <w:pPr>
        <w:bidi w:val="0"/>
        <w:jc w:val="center"/>
      </w:pPr>
      <w:r w:rsidRPr="00ED6AFA">
        <w:rPr>
          <w:b/>
          <w:bCs/>
          <w:highlight w:val="yellow"/>
        </w:rPr>
        <w:t>Table 3</w:t>
      </w:r>
      <w:r w:rsidRPr="00ED6AFA">
        <w:rPr>
          <w:highlight w:val="yellow"/>
        </w:rPr>
        <w:t>.</w:t>
      </w:r>
    </w:p>
    <w:p w:rsidR="0073782B" w:rsidRPr="00FF1AB8" w:rsidRDefault="0073782B" w:rsidP="00FF1AB8">
      <w:pPr>
        <w:bidi w:val="0"/>
        <w:jc w:val="both"/>
        <w:rPr>
          <w:b/>
          <w:bCs/>
        </w:rPr>
      </w:pPr>
      <w:r w:rsidRPr="00FF1AB8">
        <w:rPr>
          <w:b/>
          <w:bCs/>
        </w:rPr>
        <w:t>λ (</w:t>
      </w:r>
      <w:r w:rsidR="00FF1AB8" w:rsidRPr="00FF1AB8">
        <w:rPr>
          <w:b/>
          <w:bCs/>
        </w:rPr>
        <w:t>W</w:t>
      </w:r>
      <w:r w:rsidR="00182E96" w:rsidRPr="00FF1AB8">
        <w:rPr>
          <w:b/>
          <w:bCs/>
        </w:rPr>
        <w:t xml:space="preserve">eights for </w:t>
      </w:r>
      <w:r w:rsidR="00FF1AB8" w:rsidRPr="00FF1AB8">
        <w:rPr>
          <w:b/>
          <w:bCs/>
        </w:rPr>
        <w:t>P</w:t>
      </w:r>
      <w:r w:rsidR="00182E96" w:rsidRPr="00FF1AB8">
        <w:rPr>
          <w:b/>
          <w:bCs/>
        </w:rPr>
        <w:t xml:space="preserve">eer </w:t>
      </w:r>
      <w:r w:rsidR="00FF1AB8" w:rsidRPr="00FF1AB8">
        <w:rPr>
          <w:b/>
          <w:bCs/>
        </w:rPr>
        <w:t>U</w:t>
      </w:r>
      <w:r w:rsidR="00182E96" w:rsidRPr="00FF1AB8">
        <w:rPr>
          <w:b/>
          <w:bCs/>
        </w:rPr>
        <w:t>nits</w:t>
      </w:r>
      <w:r w:rsidRPr="00FF1AB8">
        <w:rPr>
          <w:b/>
          <w:bCs/>
        </w:rPr>
        <w:t>)</w:t>
      </w:r>
    </w:p>
    <w:p w:rsidR="0073782B" w:rsidRDefault="0073782B" w:rsidP="006F640F">
      <w:pPr>
        <w:bidi w:val="0"/>
        <w:jc w:val="both"/>
      </w:pPr>
      <w:r>
        <w:t xml:space="preserve">When the </w:t>
      </w:r>
      <w:r w:rsidR="001C2EA0">
        <w:t>value</w:t>
      </w:r>
      <w:r>
        <w:t xml:space="preserve"> of each input and output is changed in such a way that the unit under consideration can be located on the efficiency boundary (i.e.  its efficiency is equal to 1), then the hypothetical unit located on the efficiency boundary can be viewed   as the virtual unit. λ represents the combination of </w:t>
      </w:r>
      <w:r w:rsidR="00FF1AB8">
        <w:t xml:space="preserve">the peer </w:t>
      </w:r>
      <w:r>
        <w:t>units used to construct each virtual unit. The values of λ are presented in Table 4.</w:t>
      </w:r>
    </w:p>
    <w:p w:rsidR="0073782B" w:rsidRDefault="0073782B" w:rsidP="0073782B">
      <w:pPr>
        <w:bidi w:val="0"/>
        <w:jc w:val="both"/>
      </w:pPr>
    </w:p>
    <w:p w:rsidR="008D71B1" w:rsidRPr="00DC0864" w:rsidRDefault="0073782B" w:rsidP="00DC0864">
      <w:pPr>
        <w:bidi w:val="0"/>
        <w:jc w:val="center"/>
        <w:rPr>
          <w:b/>
          <w:bCs/>
        </w:rPr>
      </w:pPr>
      <w:r w:rsidRPr="00E24C39">
        <w:rPr>
          <w:b/>
          <w:bCs/>
          <w:highlight w:val="yellow"/>
        </w:rPr>
        <w:t>Table 4.</w:t>
      </w:r>
    </w:p>
    <w:p w:rsidR="001B16FF" w:rsidRPr="00ED6AFA" w:rsidRDefault="001B16FF" w:rsidP="001B16FF">
      <w:pPr>
        <w:bidi w:val="0"/>
        <w:rPr>
          <w:b/>
          <w:bCs/>
        </w:rPr>
      </w:pPr>
      <w:r w:rsidRPr="00ED6AFA">
        <w:rPr>
          <w:b/>
          <w:bCs/>
        </w:rPr>
        <w:t>Weights (values of the variables for the primary model)</w:t>
      </w:r>
    </w:p>
    <w:p w:rsidR="0073782B" w:rsidRDefault="001B16FF" w:rsidP="001B16FF">
      <w:pPr>
        <w:bidi w:val="0"/>
      </w:pPr>
      <w:r>
        <w:t xml:space="preserve">Tables </w:t>
      </w:r>
      <w:r w:rsidR="00DC0864">
        <w:t>5 and</w:t>
      </w:r>
      <w:r>
        <w:t xml:space="preserve"> 6 show the </w:t>
      </w:r>
      <w:r w:rsidRPr="001B16FF">
        <w:t>values of the variables for the primary model</w:t>
      </w:r>
      <w:r>
        <w:t xml:space="preserve">, which </w:t>
      </w:r>
      <m:oMath>
        <m:sSub>
          <m:sSubPr>
            <m:ctrlPr>
              <w:rPr>
                <w:rFonts w:ascii="Cambria Math" w:hAnsi="Cambria Math"/>
                <w:sz w:val="20"/>
                <w:szCs w:val="22"/>
              </w:rPr>
            </m:ctrlPr>
          </m:sSubPr>
          <m:e>
            <m:r>
              <m:rPr>
                <m:sty m:val="p"/>
              </m:rPr>
              <w:rPr>
                <w:rFonts w:ascii="Cambria Math" w:hAnsi="Cambria Math"/>
              </w:rPr>
              <m:t>v</m:t>
            </m:r>
          </m:e>
          <m:sub>
            <m:r>
              <m:rPr>
                <m:sty m:val="p"/>
              </m:rPr>
              <w:rPr>
                <w:rFonts w:ascii="Cambria Math" w:hAnsi="Cambria Math"/>
              </w:rPr>
              <m:t>i</m:t>
            </m:r>
          </m:sub>
        </m:sSub>
      </m:oMath>
      <w:r>
        <w:t xml:space="preserve">  is </w:t>
      </w:r>
      <w:r w:rsidRPr="001B16FF">
        <w:t>coefficient or weight assigned by DEA to input</w:t>
      </w:r>
      <w:r>
        <w:t xml:space="preserve"> and </w:t>
      </w:r>
      <m:oMath>
        <m:sSub>
          <m:sSubPr>
            <m:ctrlPr>
              <w:rPr>
                <w:rFonts w:ascii="Cambria Math" w:hAnsi="Cambria Math"/>
                <w:sz w:val="20"/>
                <w:szCs w:val="22"/>
              </w:rPr>
            </m:ctrlPr>
          </m:sSubPr>
          <m:e>
            <m:r>
              <m:rPr>
                <m:sty m:val="p"/>
              </m:rPr>
              <w:rPr>
                <w:rFonts w:ascii="Cambria Math" w:hAnsi="Cambria Math"/>
              </w:rPr>
              <m:t>u</m:t>
            </m:r>
          </m:e>
          <m:sub>
            <m:r>
              <m:rPr>
                <m:sty m:val="p"/>
              </m:rPr>
              <w:rPr>
                <w:rFonts w:ascii="Cambria Math" w:hAnsi="Cambria Math"/>
              </w:rPr>
              <m:t>r</m:t>
            </m:r>
          </m:sub>
        </m:sSub>
      </m:oMath>
      <w:r>
        <w:t xml:space="preserve">  is </w:t>
      </w:r>
      <w:r w:rsidRPr="001B16FF">
        <w:t>coefficient or weight assigned by DEA to output</w:t>
      </w:r>
      <w:r>
        <w:t>.</w:t>
      </w:r>
    </w:p>
    <w:p w:rsidR="00DC0864" w:rsidRPr="00FF1AB8" w:rsidRDefault="00DC0864" w:rsidP="00E24C39">
      <w:pPr>
        <w:bidi w:val="0"/>
        <w:jc w:val="center"/>
        <w:rPr>
          <w:b/>
          <w:bCs/>
        </w:rPr>
      </w:pPr>
      <w:r w:rsidRPr="00E24C39">
        <w:rPr>
          <w:b/>
          <w:bCs/>
          <w:highlight w:val="yellow"/>
        </w:rPr>
        <w:t xml:space="preserve">Table5.  </w:t>
      </w:r>
      <w:r w:rsidR="00E24C39" w:rsidRPr="00E24C39">
        <w:rPr>
          <w:b/>
          <w:bCs/>
          <w:highlight w:val="yellow"/>
        </w:rPr>
        <w:t>Input weights</w:t>
      </w:r>
    </w:p>
    <w:p w:rsidR="00DC0864" w:rsidRPr="00FF1AB8" w:rsidRDefault="00DC0864" w:rsidP="00E24C39">
      <w:pPr>
        <w:bidi w:val="0"/>
        <w:jc w:val="center"/>
        <w:rPr>
          <w:b/>
          <w:bCs/>
        </w:rPr>
      </w:pPr>
      <w:r w:rsidRPr="00E24C39">
        <w:rPr>
          <w:b/>
          <w:bCs/>
          <w:highlight w:val="yellow"/>
        </w:rPr>
        <w:t xml:space="preserve">Table6. </w:t>
      </w:r>
      <w:r w:rsidR="00E24C39" w:rsidRPr="00E24C39">
        <w:rPr>
          <w:b/>
          <w:bCs/>
          <w:highlight w:val="yellow"/>
        </w:rPr>
        <w:t>Output weights</w:t>
      </w:r>
    </w:p>
    <w:p w:rsidR="007D0692" w:rsidRPr="00FF1AB8" w:rsidRDefault="007D0692" w:rsidP="007D0692">
      <w:pPr>
        <w:bidi w:val="0"/>
        <w:rPr>
          <w:b/>
          <w:bCs/>
        </w:rPr>
      </w:pPr>
      <w:r w:rsidRPr="007D0692">
        <w:rPr>
          <w:b/>
          <w:bCs/>
        </w:rPr>
        <w:t>Input</w:t>
      </w:r>
      <w:r>
        <w:rPr>
          <w:b/>
          <w:bCs/>
        </w:rPr>
        <w:t xml:space="preserve"> and Output</w:t>
      </w:r>
      <w:r w:rsidRPr="007D0692">
        <w:rPr>
          <w:b/>
          <w:bCs/>
        </w:rPr>
        <w:t xml:space="preserve"> slacks</w:t>
      </w:r>
    </w:p>
    <w:p w:rsidR="00FF1AB8" w:rsidRPr="003E7C97" w:rsidRDefault="007D0692" w:rsidP="007D0692">
      <w:pPr>
        <w:bidi w:val="0"/>
        <w:rPr>
          <w:b/>
          <w:bCs/>
        </w:rPr>
      </w:pPr>
      <w:r>
        <w:t xml:space="preserve"> </w:t>
      </w:r>
      <w:r w:rsidRPr="007D0692">
        <w:t>Input and Output slacks</w:t>
      </w:r>
      <w:r>
        <w:rPr>
          <w:b/>
          <w:bCs/>
        </w:rPr>
        <w:t xml:space="preserve"> </w:t>
      </w:r>
      <w:r w:rsidR="00FF1AB8" w:rsidRPr="00FF1AB8">
        <w:t xml:space="preserve">related to each unit are </w:t>
      </w:r>
      <w:r w:rsidR="00FF1AB8">
        <w:t>provi</w:t>
      </w:r>
      <w:r w:rsidR="00066065">
        <w:t>ded</w:t>
      </w:r>
      <w:r w:rsidR="00FF1AB8" w:rsidRPr="00FF1AB8">
        <w:t xml:space="preserve"> in Tables </w:t>
      </w:r>
      <w:r w:rsidR="00FF1AB8">
        <w:t>7</w:t>
      </w:r>
      <w:r w:rsidR="00FF1AB8" w:rsidRPr="00FF1AB8">
        <w:t xml:space="preserve"> and</w:t>
      </w:r>
      <w:r w:rsidR="00FF1AB8">
        <w:t xml:space="preserve"> 8</w:t>
      </w:r>
      <w:r w:rsidR="00FF1AB8" w:rsidRPr="00FF1AB8">
        <w:t>, respectively</w:t>
      </w:r>
      <w:r w:rsidR="00FF1AB8" w:rsidRPr="00FF1AB8">
        <w:rPr>
          <w:rtl/>
        </w:rPr>
        <w:t>.</w:t>
      </w:r>
    </w:p>
    <w:p w:rsidR="00FF1AB8" w:rsidRPr="00066065" w:rsidRDefault="00FF1AB8" w:rsidP="00ED6AFA">
      <w:pPr>
        <w:bidi w:val="0"/>
        <w:jc w:val="center"/>
        <w:rPr>
          <w:b/>
          <w:bCs/>
          <w:highlight w:val="yellow"/>
        </w:rPr>
      </w:pPr>
      <w:r w:rsidRPr="00066065">
        <w:rPr>
          <w:b/>
          <w:bCs/>
          <w:highlight w:val="yellow"/>
        </w:rPr>
        <w:t xml:space="preserve">Table 7. </w:t>
      </w:r>
      <w:r w:rsidR="00ED6AFA">
        <w:rPr>
          <w:b/>
          <w:bCs/>
          <w:highlight w:val="yellow"/>
        </w:rPr>
        <w:t>I</w:t>
      </w:r>
      <w:r w:rsidRPr="00066065">
        <w:rPr>
          <w:b/>
          <w:bCs/>
          <w:highlight w:val="yellow"/>
        </w:rPr>
        <w:t>nput</w:t>
      </w:r>
      <w:r w:rsidR="00CA39E3" w:rsidRPr="00066065">
        <w:rPr>
          <w:b/>
          <w:bCs/>
          <w:highlight w:val="yellow"/>
        </w:rPr>
        <w:t xml:space="preserve"> Slacks</w:t>
      </w:r>
    </w:p>
    <w:p w:rsidR="00CA39E3" w:rsidRDefault="00CA39E3" w:rsidP="003E7C97">
      <w:pPr>
        <w:bidi w:val="0"/>
        <w:jc w:val="center"/>
        <w:rPr>
          <w:b/>
          <w:bCs/>
        </w:rPr>
      </w:pPr>
    </w:p>
    <w:p w:rsidR="00FF1AB8" w:rsidRPr="00066065" w:rsidRDefault="00FF1AB8" w:rsidP="004E7523">
      <w:pPr>
        <w:bidi w:val="0"/>
        <w:jc w:val="center"/>
        <w:rPr>
          <w:b/>
          <w:bCs/>
          <w:highlight w:val="yellow"/>
        </w:rPr>
      </w:pPr>
      <w:r w:rsidRPr="00066065">
        <w:rPr>
          <w:b/>
          <w:bCs/>
          <w:highlight w:val="yellow"/>
        </w:rPr>
        <w:t xml:space="preserve">Table </w:t>
      </w:r>
      <w:r w:rsidR="00CA39E3" w:rsidRPr="00066065">
        <w:rPr>
          <w:b/>
          <w:bCs/>
          <w:highlight w:val="yellow"/>
        </w:rPr>
        <w:t>8</w:t>
      </w:r>
      <w:r w:rsidRPr="00066065">
        <w:rPr>
          <w:b/>
          <w:bCs/>
          <w:highlight w:val="yellow"/>
        </w:rPr>
        <w:t xml:space="preserve">. </w:t>
      </w:r>
      <w:r w:rsidR="004E7523">
        <w:rPr>
          <w:b/>
          <w:bCs/>
          <w:highlight w:val="yellow"/>
        </w:rPr>
        <w:t>O</w:t>
      </w:r>
      <w:r w:rsidRPr="00066065">
        <w:rPr>
          <w:b/>
          <w:bCs/>
          <w:highlight w:val="yellow"/>
        </w:rPr>
        <w:t>utput</w:t>
      </w:r>
      <w:r w:rsidR="00CA39E3" w:rsidRPr="00066065">
        <w:rPr>
          <w:b/>
          <w:bCs/>
          <w:highlight w:val="yellow"/>
        </w:rPr>
        <w:t xml:space="preserve"> Slacks</w:t>
      </w:r>
    </w:p>
    <w:p w:rsidR="00CA39E3" w:rsidRPr="00CA39E3" w:rsidRDefault="00CA39E3" w:rsidP="00FF1AB8">
      <w:pPr>
        <w:bidi w:val="0"/>
        <w:rPr>
          <w:rFonts w:eastAsiaTheme="minorEastAsia"/>
          <w:sz w:val="18"/>
          <w:szCs w:val="22"/>
        </w:rPr>
      </w:pPr>
    </w:p>
    <w:p w:rsidR="00FF1AB8" w:rsidRPr="00CA39E3" w:rsidRDefault="00CA39E3" w:rsidP="00CA39E3">
      <w:pPr>
        <w:bidi w:val="0"/>
        <w:rPr>
          <w:rFonts w:eastAsiaTheme="minorEastAsia"/>
          <w:b/>
          <w:bCs/>
        </w:rPr>
      </w:pPr>
      <w:r>
        <w:rPr>
          <w:b/>
          <w:bCs/>
        </w:rPr>
        <w:t>Target</w:t>
      </w:r>
      <w:r w:rsidR="00FF1AB8" w:rsidRPr="003E7C97">
        <w:rPr>
          <w:b/>
          <w:bCs/>
        </w:rPr>
        <w:t xml:space="preserve"> Values</w:t>
      </w:r>
    </w:p>
    <w:p w:rsidR="00FF1AB8" w:rsidRPr="00FF1AB8" w:rsidRDefault="00FF1AB8" w:rsidP="00CA39E3">
      <w:pPr>
        <w:bidi w:val="0"/>
      </w:pPr>
      <w:r w:rsidRPr="00FF1AB8">
        <w:t xml:space="preserve">Tables </w:t>
      </w:r>
      <w:r w:rsidR="003E7C97">
        <w:t>9</w:t>
      </w:r>
      <w:r w:rsidR="00CA39E3">
        <w:t xml:space="preserve"> present</w:t>
      </w:r>
      <w:r w:rsidRPr="00FF1AB8">
        <w:t xml:space="preserve"> the actual and </w:t>
      </w:r>
      <w:r w:rsidR="00CA39E3">
        <w:t>target values of each input</w:t>
      </w:r>
      <w:r w:rsidRPr="00FF1AB8">
        <w:rPr>
          <w:rtl/>
        </w:rPr>
        <w:t>.</w:t>
      </w:r>
    </w:p>
    <w:p w:rsidR="00FF1AB8" w:rsidRPr="00066065" w:rsidRDefault="00FF1AB8" w:rsidP="00ED6AFA">
      <w:pPr>
        <w:bidi w:val="0"/>
        <w:jc w:val="center"/>
        <w:rPr>
          <w:b/>
          <w:bCs/>
          <w:highlight w:val="yellow"/>
        </w:rPr>
      </w:pPr>
      <w:r w:rsidRPr="00066065">
        <w:rPr>
          <w:b/>
          <w:bCs/>
          <w:highlight w:val="yellow"/>
        </w:rPr>
        <w:t xml:space="preserve">Table </w:t>
      </w:r>
      <w:r w:rsidR="003E7C97" w:rsidRPr="00066065">
        <w:rPr>
          <w:b/>
          <w:bCs/>
          <w:highlight w:val="yellow"/>
        </w:rPr>
        <w:t>9</w:t>
      </w:r>
      <w:r w:rsidRPr="00066065">
        <w:rPr>
          <w:b/>
          <w:bCs/>
          <w:highlight w:val="yellow"/>
        </w:rPr>
        <w:t xml:space="preserve">. </w:t>
      </w:r>
      <w:r w:rsidR="00ED6AFA">
        <w:rPr>
          <w:b/>
          <w:bCs/>
          <w:highlight w:val="yellow"/>
        </w:rPr>
        <w:t>I</w:t>
      </w:r>
      <w:r w:rsidR="00CA39E3" w:rsidRPr="00066065">
        <w:rPr>
          <w:b/>
          <w:bCs/>
          <w:highlight w:val="yellow"/>
        </w:rPr>
        <w:t xml:space="preserve">nputs &amp; </w:t>
      </w:r>
      <w:r w:rsidR="00ED6AFA">
        <w:rPr>
          <w:b/>
          <w:bCs/>
          <w:highlight w:val="yellow"/>
        </w:rPr>
        <w:t>T</w:t>
      </w:r>
      <w:r w:rsidR="00CA39E3" w:rsidRPr="00066065">
        <w:rPr>
          <w:b/>
          <w:bCs/>
          <w:highlight w:val="yellow"/>
        </w:rPr>
        <w:t>arget inputs</w:t>
      </w:r>
    </w:p>
    <w:p w:rsidR="00CA39E3" w:rsidRPr="00FF1AB8" w:rsidRDefault="00CA39E3" w:rsidP="00CA39E3">
      <w:pPr>
        <w:bidi w:val="0"/>
      </w:pPr>
      <w:r w:rsidRPr="00FF1AB8">
        <w:t xml:space="preserve">Tables </w:t>
      </w:r>
      <w:r>
        <w:t>10 present</w:t>
      </w:r>
      <w:r w:rsidRPr="00FF1AB8">
        <w:t xml:space="preserve"> the actual and </w:t>
      </w:r>
      <w:r>
        <w:t>target</w:t>
      </w:r>
      <w:r w:rsidRPr="00FF1AB8">
        <w:t xml:space="preserve"> values of each </w:t>
      </w:r>
      <w:r>
        <w:t>out</w:t>
      </w:r>
      <w:r w:rsidRPr="00FF1AB8">
        <w:t>put</w:t>
      </w:r>
      <w:r w:rsidRPr="00FF1AB8">
        <w:rPr>
          <w:rtl/>
        </w:rPr>
        <w:t>.</w:t>
      </w:r>
    </w:p>
    <w:p w:rsidR="00CA39E3" w:rsidRPr="00066065" w:rsidRDefault="00FF1AB8" w:rsidP="00ED6AFA">
      <w:pPr>
        <w:bidi w:val="0"/>
        <w:jc w:val="center"/>
        <w:rPr>
          <w:b/>
          <w:bCs/>
          <w:highlight w:val="yellow"/>
        </w:rPr>
      </w:pPr>
      <w:bookmarkStart w:id="0" w:name="_GoBack"/>
      <w:r w:rsidRPr="00066065">
        <w:rPr>
          <w:b/>
          <w:bCs/>
          <w:highlight w:val="yellow"/>
        </w:rPr>
        <w:t xml:space="preserve">Table </w:t>
      </w:r>
      <w:r w:rsidR="003E7C97" w:rsidRPr="00066065">
        <w:rPr>
          <w:b/>
          <w:bCs/>
          <w:highlight w:val="yellow"/>
        </w:rPr>
        <w:t>10</w:t>
      </w:r>
      <w:r w:rsidRPr="00066065">
        <w:rPr>
          <w:b/>
          <w:bCs/>
          <w:highlight w:val="yellow"/>
        </w:rPr>
        <w:t xml:space="preserve">. </w:t>
      </w:r>
      <w:r w:rsidR="00ED6AFA">
        <w:rPr>
          <w:b/>
          <w:bCs/>
          <w:highlight w:val="yellow"/>
        </w:rPr>
        <w:t>O</w:t>
      </w:r>
      <w:r w:rsidR="00CA39E3" w:rsidRPr="00066065">
        <w:rPr>
          <w:b/>
          <w:bCs/>
          <w:highlight w:val="yellow"/>
        </w:rPr>
        <w:t xml:space="preserve">utputs &amp; </w:t>
      </w:r>
      <w:r w:rsidR="00ED6AFA">
        <w:rPr>
          <w:b/>
          <w:bCs/>
          <w:highlight w:val="yellow"/>
        </w:rPr>
        <w:t>T</w:t>
      </w:r>
      <w:r w:rsidR="00CA39E3" w:rsidRPr="00066065">
        <w:rPr>
          <w:b/>
          <w:bCs/>
          <w:highlight w:val="yellow"/>
        </w:rPr>
        <w:t>arget outputs</w:t>
      </w:r>
    </w:p>
    <w:bookmarkEnd w:id="0"/>
    <w:p w:rsidR="00FF1AB8" w:rsidRPr="003E7C97" w:rsidRDefault="00FF1AB8" w:rsidP="00CA39E3">
      <w:pPr>
        <w:bidi w:val="0"/>
        <w:jc w:val="center"/>
        <w:rPr>
          <w:b/>
          <w:bCs/>
        </w:rPr>
      </w:pPr>
    </w:p>
    <w:p w:rsidR="007D18AC" w:rsidRDefault="007D18AC" w:rsidP="007D18AC">
      <w:pPr>
        <w:bidi w:val="0"/>
      </w:pPr>
    </w:p>
    <w:p w:rsidR="004B7A4E" w:rsidRPr="009027B7" w:rsidRDefault="004B7A4E" w:rsidP="004B7A4E">
      <w:pPr>
        <w:jc w:val="both"/>
        <w:rPr>
          <w:i/>
          <w:sz w:val="18"/>
          <w:szCs w:val="22"/>
        </w:rPr>
      </w:pPr>
    </w:p>
    <w:p w:rsidR="00EE3DD1" w:rsidRPr="00662A79" w:rsidRDefault="00EE3DD1" w:rsidP="0094382B">
      <w:pPr>
        <w:jc w:val="center"/>
        <w:rPr>
          <w:rtl/>
        </w:rPr>
      </w:pPr>
    </w:p>
    <w:sectPr w:rsidR="00EE3DD1" w:rsidRPr="00662A79" w:rsidSect="002936D0">
      <w:footerReference w:type="default" r:id="rId7"/>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DB6" w:rsidRDefault="00697DB6" w:rsidP="007D18AC">
      <w:pPr>
        <w:spacing w:after="0" w:line="240" w:lineRule="auto"/>
      </w:pPr>
      <w:r>
        <w:separator/>
      </w:r>
    </w:p>
  </w:endnote>
  <w:endnote w:type="continuationSeparator" w:id="0">
    <w:p w:rsidR="00697DB6" w:rsidRDefault="00697DB6" w:rsidP="007D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80352750"/>
      <w:docPartObj>
        <w:docPartGallery w:val="Page Numbers (Bottom of Page)"/>
        <w:docPartUnique/>
      </w:docPartObj>
    </w:sdtPr>
    <w:sdtEndPr>
      <w:rPr>
        <w:noProof/>
      </w:rPr>
    </w:sdtEndPr>
    <w:sdtContent>
      <w:p w:rsidR="007D18AC" w:rsidRDefault="007D18AC">
        <w:pPr>
          <w:pStyle w:val="Footer"/>
          <w:jc w:val="center"/>
        </w:pPr>
        <w:r>
          <w:fldChar w:fldCharType="begin"/>
        </w:r>
        <w:r>
          <w:instrText xml:space="preserve"> PAGE   \* MERGEFORMAT </w:instrText>
        </w:r>
        <w:r>
          <w:fldChar w:fldCharType="separate"/>
        </w:r>
        <w:r w:rsidR="004E7523">
          <w:rPr>
            <w:noProof/>
            <w:rtl/>
          </w:rPr>
          <w:t>3</w:t>
        </w:r>
        <w:r>
          <w:rPr>
            <w:noProof/>
          </w:rPr>
          <w:fldChar w:fldCharType="end"/>
        </w:r>
      </w:p>
    </w:sdtContent>
  </w:sdt>
  <w:p w:rsidR="007D18AC" w:rsidRDefault="007D18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DB6" w:rsidRDefault="00697DB6" w:rsidP="007D18AC">
      <w:pPr>
        <w:spacing w:after="0" w:line="240" w:lineRule="auto"/>
      </w:pPr>
      <w:r>
        <w:separator/>
      </w:r>
    </w:p>
  </w:footnote>
  <w:footnote w:type="continuationSeparator" w:id="0">
    <w:p w:rsidR="00697DB6" w:rsidRDefault="00697DB6" w:rsidP="007D1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F175E"/>
    <w:multiLevelType w:val="hybridMultilevel"/>
    <w:tmpl w:val="37E6E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BD9"/>
    <w:rsid w:val="000526C1"/>
    <w:rsid w:val="00065F2C"/>
    <w:rsid w:val="00066065"/>
    <w:rsid w:val="00076902"/>
    <w:rsid w:val="000D14CB"/>
    <w:rsid w:val="000D27DF"/>
    <w:rsid w:val="000F0BBA"/>
    <w:rsid w:val="00127551"/>
    <w:rsid w:val="00134BD9"/>
    <w:rsid w:val="00170B03"/>
    <w:rsid w:val="001714E3"/>
    <w:rsid w:val="00182E96"/>
    <w:rsid w:val="00192B80"/>
    <w:rsid w:val="001B16FF"/>
    <w:rsid w:val="001C2EA0"/>
    <w:rsid w:val="001E5227"/>
    <w:rsid w:val="00214DD5"/>
    <w:rsid w:val="00267CD1"/>
    <w:rsid w:val="0027560A"/>
    <w:rsid w:val="00290C38"/>
    <w:rsid w:val="002936D0"/>
    <w:rsid w:val="002B5CF8"/>
    <w:rsid w:val="003853AC"/>
    <w:rsid w:val="003A2627"/>
    <w:rsid w:val="003B70B9"/>
    <w:rsid w:val="003C4DBB"/>
    <w:rsid w:val="003E3C9B"/>
    <w:rsid w:val="003E5714"/>
    <w:rsid w:val="003E7C97"/>
    <w:rsid w:val="003F277D"/>
    <w:rsid w:val="003F55B5"/>
    <w:rsid w:val="00444D39"/>
    <w:rsid w:val="00447BDF"/>
    <w:rsid w:val="0045645B"/>
    <w:rsid w:val="0047142D"/>
    <w:rsid w:val="00476422"/>
    <w:rsid w:val="004922AF"/>
    <w:rsid w:val="004A2AE3"/>
    <w:rsid w:val="004B45F8"/>
    <w:rsid w:val="004B7A4E"/>
    <w:rsid w:val="004E27C6"/>
    <w:rsid w:val="004E7523"/>
    <w:rsid w:val="00505721"/>
    <w:rsid w:val="00562BEC"/>
    <w:rsid w:val="005640D9"/>
    <w:rsid w:val="005A1890"/>
    <w:rsid w:val="005A3BA8"/>
    <w:rsid w:val="0061617B"/>
    <w:rsid w:val="00662A79"/>
    <w:rsid w:val="00676E43"/>
    <w:rsid w:val="00681E77"/>
    <w:rsid w:val="00697DB6"/>
    <w:rsid w:val="006A14DF"/>
    <w:rsid w:val="006C3749"/>
    <w:rsid w:val="006E5C66"/>
    <w:rsid w:val="006F640F"/>
    <w:rsid w:val="00702B66"/>
    <w:rsid w:val="00734AA6"/>
    <w:rsid w:val="0073782B"/>
    <w:rsid w:val="007521C3"/>
    <w:rsid w:val="007A3DC0"/>
    <w:rsid w:val="007C2728"/>
    <w:rsid w:val="007D0692"/>
    <w:rsid w:val="007D18AC"/>
    <w:rsid w:val="007F03AA"/>
    <w:rsid w:val="007F1B85"/>
    <w:rsid w:val="007F2FD1"/>
    <w:rsid w:val="007F4C88"/>
    <w:rsid w:val="00830440"/>
    <w:rsid w:val="00835E2A"/>
    <w:rsid w:val="0084441D"/>
    <w:rsid w:val="00874C46"/>
    <w:rsid w:val="00881783"/>
    <w:rsid w:val="00893CA3"/>
    <w:rsid w:val="008B314C"/>
    <w:rsid w:val="008D71B1"/>
    <w:rsid w:val="008F0848"/>
    <w:rsid w:val="008F182E"/>
    <w:rsid w:val="008F6A75"/>
    <w:rsid w:val="009027B7"/>
    <w:rsid w:val="0094382B"/>
    <w:rsid w:val="00971AAF"/>
    <w:rsid w:val="00A20C9D"/>
    <w:rsid w:val="00A2714B"/>
    <w:rsid w:val="00A27A26"/>
    <w:rsid w:val="00A33284"/>
    <w:rsid w:val="00A476BF"/>
    <w:rsid w:val="00A60BAA"/>
    <w:rsid w:val="00AC4E62"/>
    <w:rsid w:val="00AD3A30"/>
    <w:rsid w:val="00AE5A30"/>
    <w:rsid w:val="00B02C0F"/>
    <w:rsid w:val="00B338F9"/>
    <w:rsid w:val="00B35B0B"/>
    <w:rsid w:val="00B55712"/>
    <w:rsid w:val="00B63D29"/>
    <w:rsid w:val="00B87FE2"/>
    <w:rsid w:val="00BB479F"/>
    <w:rsid w:val="00BC51AF"/>
    <w:rsid w:val="00BE05A6"/>
    <w:rsid w:val="00BE0B7B"/>
    <w:rsid w:val="00BE640C"/>
    <w:rsid w:val="00BF087B"/>
    <w:rsid w:val="00BF6742"/>
    <w:rsid w:val="00C45261"/>
    <w:rsid w:val="00C55613"/>
    <w:rsid w:val="00C77A2E"/>
    <w:rsid w:val="00CA39E3"/>
    <w:rsid w:val="00CC5633"/>
    <w:rsid w:val="00D01B52"/>
    <w:rsid w:val="00D2651A"/>
    <w:rsid w:val="00D44416"/>
    <w:rsid w:val="00D6693A"/>
    <w:rsid w:val="00DA7BE3"/>
    <w:rsid w:val="00DB72F4"/>
    <w:rsid w:val="00DC0864"/>
    <w:rsid w:val="00DF74BE"/>
    <w:rsid w:val="00E13C62"/>
    <w:rsid w:val="00E17B6C"/>
    <w:rsid w:val="00E24C39"/>
    <w:rsid w:val="00E42C19"/>
    <w:rsid w:val="00E43BE4"/>
    <w:rsid w:val="00E62FCD"/>
    <w:rsid w:val="00EB6E94"/>
    <w:rsid w:val="00ED26B2"/>
    <w:rsid w:val="00ED6AFA"/>
    <w:rsid w:val="00EE3DD1"/>
    <w:rsid w:val="00EE72EE"/>
    <w:rsid w:val="00F27134"/>
    <w:rsid w:val="00F7343C"/>
    <w:rsid w:val="00F7597C"/>
    <w:rsid w:val="00F82FF9"/>
    <w:rsid w:val="00F877B1"/>
    <w:rsid w:val="00FA6B49"/>
    <w:rsid w:val="00FB415A"/>
    <w:rsid w:val="00FF1AB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4AF4"/>
  <w15:docId w15:val="{CBC60AE9-641F-417A-BD35-1DF3F343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41D"/>
    <w:pPr>
      <w:bidi/>
    </w:pPr>
    <w:rPr>
      <w:rFonts w:ascii="Times New Roman" w:hAnsi="Times New Roman" w:cs="B Nazanin"/>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4AA6"/>
    <w:rPr>
      <w:sz w:val="16"/>
      <w:szCs w:val="16"/>
    </w:rPr>
  </w:style>
  <w:style w:type="paragraph" w:styleId="CommentText">
    <w:name w:val="annotation text"/>
    <w:basedOn w:val="Normal"/>
    <w:link w:val="CommentTextChar"/>
    <w:uiPriority w:val="99"/>
    <w:semiHidden/>
    <w:unhideWhenUsed/>
    <w:rsid w:val="00734AA6"/>
    <w:pPr>
      <w:spacing w:line="240" w:lineRule="auto"/>
    </w:pPr>
    <w:rPr>
      <w:szCs w:val="20"/>
    </w:rPr>
  </w:style>
  <w:style w:type="character" w:customStyle="1" w:styleId="CommentTextChar">
    <w:name w:val="Comment Text Char"/>
    <w:basedOn w:val="DefaultParagraphFont"/>
    <w:link w:val="CommentText"/>
    <w:uiPriority w:val="99"/>
    <w:semiHidden/>
    <w:rsid w:val="00734AA6"/>
    <w:rPr>
      <w:rFonts w:ascii="Times New Roman" w:hAnsi="Times New Roman" w:cs="B Nazanin"/>
      <w:sz w:val="20"/>
      <w:szCs w:val="20"/>
    </w:rPr>
  </w:style>
  <w:style w:type="paragraph" w:styleId="CommentSubject">
    <w:name w:val="annotation subject"/>
    <w:basedOn w:val="CommentText"/>
    <w:next w:val="CommentText"/>
    <w:link w:val="CommentSubjectChar"/>
    <w:uiPriority w:val="99"/>
    <w:semiHidden/>
    <w:unhideWhenUsed/>
    <w:rsid w:val="00734AA6"/>
    <w:rPr>
      <w:b/>
      <w:bCs/>
    </w:rPr>
  </w:style>
  <w:style w:type="character" w:customStyle="1" w:styleId="CommentSubjectChar">
    <w:name w:val="Comment Subject Char"/>
    <w:basedOn w:val="CommentTextChar"/>
    <w:link w:val="CommentSubject"/>
    <w:uiPriority w:val="99"/>
    <w:semiHidden/>
    <w:rsid w:val="00734AA6"/>
    <w:rPr>
      <w:rFonts w:ascii="Times New Roman" w:hAnsi="Times New Roman" w:cs="B Nazanin"/>
      <w:b/>
      <w:bCs/>
      <w:sz w:val="20"/>
      <w:szCs w:val="20"/>
    </w:rPr>
  </w:style>
  <w:style w:type="paragraph" w:styleId="BalloonText">
    <w:name w:val="Balloon Text"/>
    <w:basedOn w:val="Normal"/>
    <w:link w:val="BalloonTextChar"/>
    <w:uiPriority w:val="99"/>
    <w:semiHidden/>
    <w:unhideWhenUsed/>
    <w:rsid w:val="0073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AA6"/>
    <w:rPr>
      <w:rFonts w:ascii="Tahoma" w:hAnsi="Tahoma" w:cs="Tahoma"/>
      <w:sz w:val="16"/>
      <w:szCs w:val="16"/>
    </w:rPr>
  </w:style>
  <w:style w:type="paragraph" w:styleId="ListParagraph">
    <w:name w:val="List Paragraph"/>
    <w:basedOn w:val="Normal"/>
    <w:uiPriority w:val="34"/>
    <w:qFormat/>
    <w:rsid w:val="00BE640C"/>
    <w:pPr>
      <w:ind w:left="720"/>
      <w:contextualSpacing/>
    </w:pPr>
    <w:rPr>
      <w:rFonts w:asciiTheme="minorHAnsi" w:hAnsiTheme="minorHAnsi" w:cstheme="minorBidi"/>
    </w:rPr>
  </w:style>
  <w:style w:type="character" w:styleId="PlaceholderText">
    <w:name w:val="Placeholder Text"/>
    <w:basedOn w:val="DefaultParagraphFont"/>
    <w:uiPriority w:val="99"/>
    <w:semiHidden/>
    <w:rsid w:val="009027B7"/>
    <w:rPr>
      <w:color w:val="808080"/>
    </w:rPr>
  </w:style>
  <w:style w:type="paragraph" w:styleId="Header">
    <w:name w:val="header"/>
    <w:basedOn w:val="Normal"/>
    <w:link w:val="HeaderChar"/>
    <w:uiPriority w:val="99"/>
    <w:unhideWhenUsed/>
    <w:rsid w:val="007D1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8AC"/>
    <w:rPr>
      <w:rFonts w:ascii="Times New Roman" w:hAnsi="Times New Roman" w:cs="B Nazanin"/>
      <w:szCs w:val="26"/>
    </w:rPr>
  </w:style>
  <w:style w:type="paragraph" w:styleId="Footer">
    <w:name w:val="footer"/>
    <w:basedOn w:val="Normal"/>
    <w:link w:val="FooterChar"/>
    <w:uiPriority w:val="99"/>
    <w:unhideWhenUsed/>
    <w:rsid w:val="007D1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8AC"/>
    <w:rPr>
      <w:rFonts w:ascii="Times New Roman" w:hAnsi="Times New Roman" w:cs="B Nazani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se7en</dc:creator>
  <cp:keywords/>
  <dc:description/>
  <cp:lastModifiedBy>hamid</cp:lastModifiedBy>
  <cp:revision>63</cp:revision>
  <dcterms:created xsi:type="dcterms:W3CDTF">2015-08-18T04:11:00Z</dcterms:created>
  <dcterms:modified xsi:type="dcterms:W3CDTF">2018-04-14T07:22:00Z</dcterms:modified>
</cp:coreProperties>
</file>